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计划财务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>处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  <w:t>附件3-1</w:t>
      </w:r>
    </w:p>
    <w:p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u w:val="single"/>
          <w:lang w:val="zh-CN"/>
        </w:rPr>
        <w:t xml:space="preserve">              </w:t>
      </w: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lang w:val="zh-CN"/>
        </w:rPr>
        <w:t>大学（学院）本科教学质量报告支撑数据表格</w:t>
      </w:r>
    </w:p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八、本科教学日常运行支出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（计划财务处、教务处）</w:t>
      </w:r>
    </w:p>
    <w:tbl>
      <w:tblPr>
        <w:tblStyle w:val="3"/>
        <w:tblW w:w="487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307"/>
        <w:gridCol w:w="4397"/>
        <w:gridCol w:w="40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26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年  度</w:t>
            </w:r>
          </w:p>
        </w:tc>
        <w:tc>
          <w:tcPr>
            <w:tcW w:w="91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本科生数</w:t>
            </w:r>
          </w:p>
        </w:tc>
        <w:tc>
          <w:tcPr>
            <w:tcW w:w="174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教学日常运行支出（万元）</w:t>
            </w:r>
          </w:p>
        </w:tc>
        <w:tc>
          <w:tcPr>
            <w:tcW w:w="161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生均本科教学日常运行支出(元)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26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4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1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九、本科专项教学经费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（计划财务处）</w:t>
      </w:r>
    </w:p>
    <w:tbl>
      <w:tblPr>
        <w:tblStyle w:val="3"/>
        <w:tblW w:w="495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61"/>
        <w:gridCol w:w="1992"/>
        <w:gridCol w:w="4104"/>
        <w:gridCol w:w="2531"/>
        <w:gridCol w:w="21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年  度</w:t>
            </w:r>
          </w:p>
        </w:tc>
        <w:tc>
          <w:tcPr>
            <w:tcW w:w="78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  号</w:t>
            </w:r>
          </w:p>
        </w:tc>
        <w:tc>
          <w:tcPr>
            <w:tcW w:w="162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项  目</w:t>
            </w:r>
          </w:p>
        </w:tc>
        <w:tc>
          <w:tcPr>
            <w:tcW w:w="10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经费（万元）</w:t>
            </w:r>
          </w:p>
        </w:tc>
        <w:tc>
          <w:tcPr>
            <w:tcW w:w="850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备 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vMerge w:val="restart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7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1</w:t>
            </w:r>
          </w:p>
        </w:tc>
        <w:tc>
          <w:tcPr>
            <w:tcW w:w="1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0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rPr>
          <w:trHeight w:val="454" w:hRule="exact"/>
          <w:jc w:val="center"/>
        </w:trPr>
        <w:tc>
          <w:tcPr>
            <w:tcW w:w="736" w:type="pct"/>
            <w:vMerge w:val="continue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7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4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0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0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vMerge w:val="continue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78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left="9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合计（万元）</w:t>
            </w:r>
          </w:p>
        </w:tc>
        <w:tc>
          <w:tcPr>
            <w:tcW w:w="2624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0" w:type="pct"/>
            <w:tcBorders>
              <w:top w:val="single" w:color="000000" w:sz="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十、本科实验、实习经费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（教务处、计划财务处）</w:t>
      </w:r>
    </w:p>
    <w:tbl>
      <w:tblPr>
        <w:tblStyle w:val="3"/>
        <w:tblW w:w="487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035"/>
        <w:gridCol w:w="2212"/>
        <w:gridCol w:w="2230"/>
        <w:gridCol w:w="2308"/>
        <w:gridCol w:w="2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10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年  度</w:t>
            </w:r>
          </w:p>
        </w:tc>
        <w:tc>
          <w:tcPr>
            <w:tcW w:w="80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本科生数</w:t>
            </w:r>
          </w:p>
        </w:tc>
        <w:tc>
          <w:tcPr>
            <w:tcW w:w="87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本科实验经费（万元）</w:t>
            </w:r>
          </w:p>
        </w:tc>
        <w:tc>
          <w:tcPr>
            <w:tcW w:w="88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生均本科实验经费（元）</w:t>
            </w:r>
          </w:p>
        </w:tc>
        <w:tc>
          <w:tcPr>
            <w:tcW w:w="91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本科实习经费（万元）</w:t>
            </w:r>
          </w:p>
        </w:tc>
        <w:tc>
          <w:tcPr>
            <w:tcW w:w="90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生均本科实习经费（元）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10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80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7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8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455" w:firstLineChars="216"/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仿宋_GB2312" w:eastAsia="仿宋_GB2312" w:cs="宋体"/>
          <w:b/>
          <w:color w:val="auto"/>
          <w:kern w:val="0"/>
          <w:szCs w:val="21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质量报告中涉及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的财务数据（如经费、工资）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时间节点均为201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年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月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日；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教学数据（学生、教师、专业、课程等）按学年计算，为2019年8月1日至2020年7月31日。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数据的计算方法参照《教育部关于印发〈普通高等学校基本办学条件指标（试行）〉的通知》（教发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〔2004〕2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号文件）以及《教育部办公厅关于开展普通高等学校本科教学工作合格评估的通知》（教高厅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〔2011〕2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号文件）。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cs="宋体"/>
          <w:color w:val="auto"/>
          <w:kern w:val="0"/>
          <w:szCs w:val="21"/>
          <w:highlight w:val="none"/>
          <w:lang w:val="zh-CN"/>
        </w:rPr>
        <w:sectPr>
          <w:footerReference r:id="rId3" w:type="default"/>
          <w:pgSz w:w="15840" w:h="12240" w:orient="landscape"/>
          <w:pgMar w:top="1701" w:right="170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>
      <w:pPr>
        <w:rPr>
          <w:rFonts w:hint="eastAsia" w:ascii="楷体_GB2312" w:eastAsia="楷体_GB2312"/>
          <w:color w:val="auto"/>
          <w:sz w:val="28"/>
          <w:szCs w:val="28"/>
          <w:highlight w:val="none"/>
        </w:rPr>
      </w:pPr>
      <w:r>
        <w:rPr>
          <w:rFonts w:hint="eastAsia" w:ascii="楷体_GB2312" w:eastAsia="楷体_GB2312" w:cs="宋体"/>
          <w:color w:val="auto"/>
          <w:kern w:val="0"/>
          <w:sz w:val="28"/>
          <w:szCs w:val="28"/>
          <w:highlight w:val="none"/>
          <w:lang w:val="zh-CN"/>
        </w:rPr>
        <w:t>附件3-2</w:t>
      </w:r>
    </w:p>
    <w:p>
      <w:pPr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t>本科教学质量报告支撑数据表格填写说明</w:t>
      </w:r>
    </w:p>
    <w:tbl>
      <w:tblPr>
        <w:tblStyle w:val="3"/>
        <w:tblW w:w="92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560"/>
        <w:gridCol w:w="64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对应表序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数据名称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数据内涵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      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全日制在校生数=本科生数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+普通（高职）专科生数+全日制硕士研究生（含留学生）+全日制博士研究生（含留学生）+预科阶段学生数+进修生数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本科生数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普通本科生（含预科已转段的本科生）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+留学生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学缘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spacing w:val="-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教职工中最终学位在本校取得和在国内外其他高校（或授予单位）取得的情况。其中，本校是指最终学位是在本校取得的；外校（境内）指最终学位是在境内其他学校取得的；外校（境内）值最终学位是在境外（国外及港、澳、台）学校取得的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专任教师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指具有教师资格证、专职从事教学工作的、只属于教学单位的人员，此处统计时不包括直属医院具有医师职称的医生。跨专业教师只统计一次，不得重复统计。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生师比=折合在校生数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/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分专业生师比=分专业在校本科生数/分专业教师总数。分专业教师总数=分专业专任教师数+聘请校外教师数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*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0.5。分专业专任教师指具有教师资格、主要从事本专业教学工作的人员。单名教师最多归属一个专业，参与多专业教学的教师不得在多专业中重复计算。对于按专业类招生或未将教师分到专业的学校专业，分专业生师比暂时按照所在专业类生师比计。专业类生师比=专业类内所有专业在校本科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/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专业类教师总数。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教师总数＝专任教师数＋外聘教师数×0.5。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聘请本校退休教师应归为外聘教师。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一、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四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、五、六、七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=普通本科生数+专科（高职）生数+硕士生数(全日制+非全日制)*1.5+博士生数*2+留学生本科数*1+留学生硕士生数*1.5+留学生博士生数*2+预科生数+进修生数+成人脱产班学生数+夜大(业余)学生数*0.3+函授生数*0.1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??????"/>
                <w:color w:val="auto"/>
                <w:kern w:val="0"/>
                <w:szCs w:val="21"/>
                <w:highlight w:val="none"/>
                <w:lang w:val="zh-CN"/>
              </w:rPr>
              <w:t>（其中，留学生也分别按照本科、硕士、博士分别乘以相应的系数）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教学科研仪器 设备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使用学校预算经费、科研经费、基建经费、校内部门自筹经费购买或接受捐赠的耐用时间在一年以上，单价800元以上的教学科研仪器设备，不含已报废设备。生均教学科研仪器设备值=教学科研仪器设备总值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纸质图书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指学校图书馆及各院系、所资料室拥有的正式出版书籍的册数及已装订成册的过刊，每册过刊算一册书。生均纸质图书=馆藏纸质图书/折合在校生数。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指学校图书馆及各院系、所资料室订阅的当年正式出版的期刊，不包含虽在架上但非当年出版的期刊。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电子图书、期刊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指学校图书馆及各院系、所资料室拥有的正式出版的各类光盘、软盘、数据库等电子图书、期刊。生均电子图书、期刊=电子图书、期刊/折合在校生数。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表七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 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教学行政用房面积=教学及辅助用房面积+行政办公用房面积，生均教学行政用房面积=教学行政用房面积/全日制在校生数。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实验室面积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（含实习实训及附属用房）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指面向本科生开放的教学实验室或中心、供教学用的各类实习、实训场所及附属用房。教学实验室或中心名称，以学校正式批准的设立的名称为准。实验室实习场所及附属用房包括基础课、专业基础课、专业课、自选科研项目所需的各种实验室、实习工厂农场、牧场、林场、实验室的附属用房（准备室、天平室、仪器室、标本室、模型室、陈列室、动物室、充电室、空调室、更衣室、实验人员办公室等）、全校公用的计算中心等。个别学校设立的分析测试中心应专案报批，不在本指标之内。专职科研机构的实验室、资料室、生产性工厂农场林场、医学院校的附属医院、师范院校的附中附小幼儿园等均不在本指标之内。实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验室（含实习实训及附属用房）须具有本校产权。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生均实验室面积=实验室面积/全日制在校生数。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本科教学日常运行支出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参照《教育部办公厅关于开展普通高等学校本科教学工作合格评估的通知》教高厅〔2011〕2号文件，是指学校开展普通本科教学活动及其辅助活动发生的支出，仅指教学基本支出中的商品和服务支出(302类)(不含教学专项拨款支出)，具体包括：教学教辅部门发生的办公费(含考试考务费、手续费等)、印刷费、咨询费、邮电费、交通费、差旅费、出国费、维修(护)费、租赁费、会议费、培训费、专用材料费(含体育维持费等)、劳务费、其他教学商品和服务支出(含学生活动费、教学咨询研究机构会员费、教学改革科研业务费、委托业务费等)，取会计决算数（与表八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九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本科专项教学经费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内学校立项用于本科教学改革和建设的专项经费总额（与表七数据不得重复统计）。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本科实验经费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内学校用于实验教学运行及维护经费，生均本科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实验经费=本科实验经费/本科生数。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本科实习经费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内学校用于本科培养方案内的实习环节支出经费，生均本科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实习经费=本科实习经费/本科生数。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教授总数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在编的具有教授或相当职称的专任教师人数。（只统计正教授，不含外聘教授）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教授应授课   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在编在岗的具有教授或相当职称的专任教师人数，不包含在外上学、研修，病休等教师。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教授实际授课人数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在编在岗的具有教授或相当职称，为本科生讲授一门及以上课程的专任教师人数，不含讲座、指导毕业设计（论文）及实践教学的教师。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内实际开设的本科培养计划内课程总数，跨学期讲授的同一门课程计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内实际开设的本科培养计划内课程总门次数（累计次数总和）。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教授授本科  课程门次数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教授参与授课的课程门次数。一门课程的全部课时均由教授授课，记为1，有多名教师共同承担的，按教授实际承担课时比例计算。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学科门类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按照《普通高等学校本科专业目录（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2012年）》12个学科门类填写。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总学分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指同一学科门类中各专业平均学分。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实践教学学分、选修课学分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教学计划实际执行</w:t>
            </w:r>
            <w:r>
              <w:rPr>
                <w:rFonts w:hint="eastAsia"/>
                <w:color w:val="auto"/>
                <w:highlight w:val="none"/>
              </w:rPr>
              <w:t>平均实践教学学分、选修课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毕业率=应届毕业生数/预计应届毕业生数×100%，按专业填报。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学位授予率=授予学位人数/应届毕业生数×100%，按专业填报。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初次就业率=应届毕业生的就业人数/应届毕业生数×100%，按专业填报，统计初次就业率，时间截至20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月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1日。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攻读研究生   比例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44" w:rightChars="21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应届毕业生的研究生录取人数/应届毕业生数×100%，按专业填报。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毕业生大学四、六级英语通过率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统计不含小语种及外语、艺术、体育等专业学生。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其他注意事项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专业名称、专业代码、授予学位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按照教育部201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年本科专业目录填写。</w:t>
            </w:r>
          </w:p>
        </w:tc>
      </w:tr>
    </w:tbl>
    <w:p>
      <w:pPr>
        <w:jc w:val="center"/>
        <w:rPr>
          <w:rFonts w:hint="eastAsia" w:ascii="楷体" w:eastAsia="楷体"/>
          <w:color w:val="auto"/>
          <w:sz w:val="20"/>
          <w:szCs w:val="20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autoSpaceDE w:val="0"/>
        <w:autoSpaceDN w:val="0"/>
        <w:adjustRightInd w:val="0"/>
        <w:snapToGrid w:val="0"/>
        <w:spacing w:line="520" w:lineRule="atLeast"/>
        <w:jc w:val="center"/>
        <w:rPr>
          <w:rFonts w:hint="eastAsia" w:ascii="宋体" w:cs="宋体"/>
          <w:b/>
          <w:color w:val="auto"/>
          <w:kern w:val="0"/>
          <w:sz w:val="32"/>
          <w:szCs w:val="32"/>
          <w:highlight w:val="none"/>
        </w:rPr>
      </w:pPr>
    </w:p>
    <w:p/>
    <w:sectPr>
      <w:pgSz w:w="12240" w:h="15840"/>
      <w:pgMar w:top="1701" w:right="1418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847A0"/>
    <w:rsid w:val="079C4EBA"/>
    <w:rsid w:val="18F847A0"/>
    <w:rsid w:val="30532126"/>
    <w:rsid w:val="4ECA6A3B"/>
    <w:rsid w:val="71282CF0"/>
    <w:rsid w:val="76A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2020-09-30T06:38:00Z</dcterms:created>
  <dc:creator>潤雨</dc:creator>
  <cp:lastModifiedBy>潤雨</cp:lastModifiedBy>
  <dcterms:modified xsi:type="dcterms:W3CDTF">2020-10-02T01:50:15Z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